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62" w:rsidRPr="004119E8" w:rsidRDefault="00CC2D8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Critical Thinking </w:t>
      </w:r>
      <w:r w:rsidR="00D66962" w:rsidRPr="004119E8">
        <w:rPr>
          <w:rFonts w:ascii="Arial Narrow" w:hAnsi="Arial Narrow" w:cs="Arial"/>
          <w:b/>
        </w:rPr>
        <w:t>(aggregate</w:t>
      </w:r>
      <w:r w:rsidR="002C33EB" w:rsidRPr="004119E8">
        <w:rPr>
          <w:rFonts w:ascii="Arial Narrow" w:hAnsi="Arial Narrow" w:cs="Arial"/>
          <w:b/>
        </w:rPr>
        <w:t xml:space="preserve"> results</w:t>
      </w:r>
      <w:r w:rsidR="00D66962" w:rsidRPr="004119E8">
        <w:rPr>
          <w:rFonts w:ascii="Arial Narrow" w:hAnsi="Arial Narrow" w:cs="Arial"/>
          <w:b/>
        </w:rPr>
        <w:t>)</w:t>
      </w:r>
    </w:p>
    <w:p w:rsidR="00D66962" w:rsidRPr="004119E8" w:rsidRDefault="00D66962">
      <w:pPr>
        <w:rPr>
          <w:rFonts w:ascii="Arial Narrow" w:hAnsi="Arial Narrow" w:cs="Arial"/>
        </w:rPr>
      </w:pPr>
    </w:p>
    <w:p w:rsidR="00D66962" w:rsidRPr="004119E8" w:rsidRDefault="00D66962">
      <w:pPr>
        <w:rPr>
          <w:rFonts w:ascii="Arial Narrow" w:hAnsi="Arial Narrow" w:cs="Arial"/>
        </w:rPr>
      </w:pPr>
      <w:r w:rsidRPr="004119E8">
        <w:rPr>
          <w:rFonts w:ascii="Arial Narrow" w:hAnsi="Arial Narrow" w:cs="Arial"/>
        </w:rPr>
        <w:t>Assessment Type:  GEC</w:t>
      </w:r>
      <w:r w:rsidRPr="004119E8">
        <w:rPr>
          <w:rFonts w:ascii="Arial Narrow" w:hAnsi="Arial Narrow" w:cs="Arial"/>
        </w:rPr>
        <w:tab/>
      </w:r>
      <w:r w:rsidRPr="004119E8">
        <w:rPr>
          <w:rFonts w:ascii="Arial Narrow" w:hAnsi="Arial Narrow" w:cs="Arial"/>
        </w:rPr>
        <w:tab/>
      </w:r>
      <w:r w:rsidRPr="004119E8">
        <w:rPr>
          <w:rFonts w:ascii="Arial Narrow" w:hAnsi="Arial Narrow" w:cs="Arial"/>
        </w:rPr>
        <w:tab/>
      </w:r>
      <w:r w:rsidRPr="004119E8">
        <w:rPr>
          <w:rFonts w:ascii="Arial Narrow" w:hAnsi="Arial Narrow" w:cs="Arial"/>
        </w:rPr>
        <w:tab/>
      </w:r>
      <w:r w:rsidRPr="004119E8">
        <w:rPr>
          <w:rFonts w:ascii="Arial Narrow" w:hAnsi="Arial Narrow" w:cs="Arial"/>
        </w:rPr>
        <w:tab/>
        <w:t xml:space="preserve">Year/Term: </w:t>
      </w:r>
      <w:r w:rsidR="00CC2D8B">
        <w:rPr>
          <w:rFonts w:ascii="Arial Narrow" w:hAnsi="Arial Narrow" w:cs="Arial"/>
        </w:rPr>
        <w:t>2010</w:t>
      </w:r>
      <w:r w:rsidR="008D1B35">
        <w:rPr>
          <w:rFonts w:ascii="Arial Narrow" w:hAnsi="Arial Narrow" w:cs="Arial"/>
        </w:rPr>
        <w:t xml:space="preserve"> </w:t>
      </w:r>
      <w:r w:rsidRPr="004119E8">
        <w:rPr>
          <w:rFonts w:ascii="Arial Narrow" w:hAnsi="Arial Narrow" w:cs="Arial"/>
        </w:rPr>
        <w:t>/</w:t>
      </w:r>
      <w:r w:rsidR="008D1B35">
        <w:rPr>
          <w:rFonts w:ascii="Arial Narrow" w:hAnsi="Arial Narrow" w:cs="Arial"/>
        </w:rPr>
        <w:t xml:space="preserve"> </w:t>
      </w:r>
      <w:r w:rsidRPr="004119E8">
        <w:rPr>
          <w:rFonts w:ascii="Arial Narrow" w:hAnsi="Arial Narrow" w:cs="Arial"/>
        </w:rPr>
        <w:t>2</w:t>
      </w:r>
    </w:p>
    <w:p w:rsidR="00D66962" w:rsidRPr="004119E8" w:rsidRDefault="00D66962">
      <w:pPr>
        <w:rPr>
          <w:rFonts w:ascii="Arial Narrow" w:hAnsi="Arial Narrow" w:cs="Arial"/>
        </w:rPr>
      </w:pPr>
    </w:p>
    <w:p w:rsidR="00D66962" w:rsidRPr="004119E8" w:rsidRDefault="00D66962">
      <w:pPr>
        <w:rPr>
          <w:rFonts w:ascii="Arial Narrow" w:hAnsi="Arial Narrow" w:cs="Arial"/>
        </w:rPr>
      </w:pPr>
      <w:r w:rsidRPr="004119E8">
        <w:rPr>
          <w:rFonts w:ascii="Arial Narrow" w:hAnsi="Arial Narrow" w:cs="Arial"/>
        </w:rPr>
        <w:t>High Impact Practice: none noted</w:t>
      </w:r>
    </w:p>
    <w:p w:rsidR="00D66962" w:rsidRPr="004119E8" w:rsidRDefault="00D66962">
      <w:pPr>
        <w:rPr>
          <w:rFonts w:ascii="Arial Narrow" w:hAnsi="Arial Narrow" w:cs="Arial"/>
        </w:rPr>
      </w:pPr>
    </w:p>
    <w:p w:rsidR="00D66962" w:rsidRPr="004119E8" w:rsidRDefault="00DD0E4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Level:  4 100-level courses; 7</w:t>
      </w:r>
      <w:r w:rsidR="00D66962" w:rsidRPr="004119E8">
        <w:rPr>
          <w:rFonts w:ascii="Arial Narrow" w:hAnsi="Arial Narrow" w:cs="Arial"/>
        </w:rPr>
        <w:t xml:space="preserve"> 200-level courses</w:t>
      </w:r>
      <w:r>
        <w:rPr>
          <w:rFonts w:ascii="Arial Narrow" w:hAnsi="Arial Narrow" w:cs="Arial"/>
        </w:rPr>
        <w:t>: BIOL 101, GEOL 102, PHIL 101, SSCI 101, CHEM 204, ECON 201, GEND 220, HIST 202, MUS 201, THEA 261, WR 222</w:t>
      </w:r>
    </w:p>
    <w:p w:rsidR="00D66962" w:rsidRPr="004119E8" w:rsidRDefault="00D66962">
      <w:pPr>
        <w:rPr>
          <w:rFonts w:ascii="Arial Narrow" w:hAnsi="Arial Narrow" w:cs="Arial"/>
        </w:rPr>
      </w:pPr>
    </w:p>
    <w:p w:rsidR="00D66962" w:rsidRPr="004119E8" w:rsidRDefault="00D66962">
      <w:pPr>
        <w:rPr>
          <w:rFonts w:ascii="Arial Narrow" w:hAnsi="Arial Narrow" w:cs="Arial"/>
        </w:rPr>
      </w:pPr>
      <w:r w:rsidRPr="004119E8">
        <w:rPr>
          <w:rFonts w:ascii="Arial Narrow" w:hAnsi="Arial Narrow" w:cs="Arial"/>
        </w:rPr>
        <w:t>Learning Outcome:</w:t>
      </w:r>
      <w:r w:rsidRPr="004119E8">
        <w:rPr>
          <w:rFonts w:ascii="Arial Narrow" w:hAnsi="Arial Narrow" w:cs="Arial"/>
        </w:rPr>
        <w:tab/>
      </w:r>
      <w:r w:rsidRPr="004119E8">
        <w:rPr>
          <w:rFonts w:ascii="Arial Narrow" w:hAnsi="Arial Narrow" w:cs="Arial"/>
        </w:rPr>
        <w:tab/>
      </w:r>
      <w:r w:rsidR="00DD0E4F">
        <w:rPr>
          <w:rFonts w:ascii="Arial Narrow" w:hAnsi="Arial Narrow" w:cs="Arial"/>
        </w:rPr>
        <w:t>Critical Thinking</w:t>
      </w:r>
      <w:r w:rsidRPr="004119E8">
        <w:rPr>
          <w:rFonts w:ascii="Arial Narrow" w:hAnsi="Arial Narrow" w:cs="Arial"/>
        </w:rPr>
        <w:tab/>
      </w:r>
      <w:r w:rsidRPr="004119E8">
        <w:rPr>
          <w:rFonts w:ascii="Arial Narrow" w:hAnsi="Arial Narrow" w:cs="Arial"/>
        </w:rPr>
        <w:tab/>
        <w:t>Measurement Scale:  1-3</w:t>
      </w:r>
    </w:p>
    <w:p w:rsidR="00D66962" w:rsidRPr="004119E8" w:rsidRDefault="00D66962">
      <w:pPr>
        <w:rPr>
          <w:rFonts w:ascii="Arial Narrow" w:hAnsi="Arial Narrow" w:cs="Arial"/>
        </w:rPr>
      </w:pPr>
    </w:p>
    <w:p w:rsidR="00D66962" w:rsidRPr="004119E8" w:rsidRDefault="00D66962">
      <w:pPr>
        <w:pBdr>
          <w:bottom w:val="single" w:sz="12" w:space="1" w:color="auto"/>
        </w:pBdr>
        <w:rPr>
          <w:rFonts w:ascii="Arial Narrow" w:hAnsi="Arial Narrow" w:cs="Arial"/>
        </w:rPr>
      </w:pPr>
      <w:r w:rsidRPr="004119E8">
        <w:rPr>
          <w:rFonts w:ascii="Arial Narrow" w:hAnsi="Arial Narrow" w:cs="Arial"/>
        </w:rPr>
        <w:t>Assessment Method/Tool:</w:t>
      </w:r>
      <w:r w:rsidRPr="004119E8">
        <w:rPr>
          <w:rFonts w:ascii="Arial Narrow" w:hAnsi="Arial Narrow" w:cs="Arial"/>
        </w:rPr>
        <w:tab/>
        <w:t>Rubr</w:t>
      </w:r>
      <w:r w:rsidR="00875194">
        <w:rPr>
          <w:rFonts w:ascii="Arial Narrow" w:hAnsi="Arial Narrow" w:cs="Arial"/>
        </w:rPr>
        <w:t>ic</w:t>
      </w:r>
      <w:r w:rsidR="00875194">
        <w:rPr>
          <w:rFonts w:ascii="Arial Narrow" w:hAnsi="Arial Narrow" w:cs="Arial"/>
        </w:rPr>
        <w:tab/>
      </w:r>
      <w:r w:rsidR="00875194">
        <w:rPr>
          <w:rFonts w:ascii="Arial Narrow" w:hAnsi="Arial Narrow" w:cs="Arial"/>
        </w:rPr>
        <w:tab/>
      </w:r>
      <w:r w:rsidR="00875194">
        <w:rPr>
          <w:rFonts w:ascii="Arial Narrow" w:hAnsi="Arial Narrow" w:cs="Arial"/>
        </w:rPr>
        <w:tab/>
      </w:r>
      <w:r w:rsidRPr="004119E8">
        <w:rPr>
          <w:rFonts w:ascii="Arial Narrow" w:hAnsi="Arial Narrow" w:cs="Arial"/>
        </w:rPr>
        <w:t xml:space="preserve">Sample size (aggregate): </w:t>
      </w:r>
      <w:r w:rsidR="00DD0E4F">
        <w:rPr>
          <w:rFonts w:ascii="Arial Narrow" w:hAnsi="Arial Narrow" w:cs="Arial"/>
        </w:rPr>
        <w:t>272</w:t>
      </w:r>
    </w:p>
    <w:p w:rsidR="00D66962" w:rsidRPr="004119E8" w:rsidRDefault="00D66962">
      <w:pPr>
        <w:pBdr>
          <w:bottom w:val="single" w:sz="12" w:space="1" w:color="auto"/>
        </w:pBdr>
        <w:rPr>
          <w:rFonts w:ascii="Arial Narrow" w:hAnsi="Arial Narrow" w:cs="Arial"/>
        </w:rPr>
      </w:pPr>
    </w:p>
    <w:p w:rsidR="00D66962" w:rsidRPr="004119E8" w:rsidRDefault="00D66962">
      <w:pPr>
        <w:rPr>
          <w:rFonts w:ascii="Arial Narrow" w:hAnsi="Arial Narrow" w:cs="Arial"/>
        </w:rPr>
      </w:pPr>
    </w:p>
    <w:tbl>
      <w:tblPr>
        <w:tblStyle w:val="TableGrid"/>
        <w:tblW w:w="8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540"/>
        <w:gridCol w:w="713"/>
        <w:gridCol w:w="773"/>
        <w:gridCol w:w="713"/>
        <w:gridCol w:w="716"/>
        <w:gridCol w:w="715"/>
        <w:gridCol w:w="773"/>
      </w:tblGrid>
      <w:tr w:rsidR="002421E2" w:rsidRPr="004119E8" w:rsidTr="002421E2">
        <w:tc>
          <w:tcPr>
            <w:tcW w:w="4608" w:type="dxa"/>
          </w:tcPr>
          <w:p w:rsidR="002421E2" w:rsidRPr="004119E8" w:rsidRDefault="002C33EB">
            <w:pPr>
              <w:rPr>
                <w:rFonts w:ascii="Arial Narrow" w:hAnsi="Arial Narrow" w:cs="Arial"/>
                <w:b/>
              </w:rPr>
            </w:pPr>
            <w:r w:rsidRPr="004119E8">
              <w:rPr>
                <w:rFonts w:ascii="Arial Narrow" w:hAnsi="Arial Narrow" w:cs="Arial"/>
                <w:b/>
              </w:rPr>
              <w:t xml:space="preserve">Communication Performance </w:t>
            </w:r>
            <w:r w:rsidR="002421E2" w:rsidRPr="004119E8">
              <w:rPr>
                <w:rFonts w:ascii="Arial Narrow" w:hAnsi="Arial Narrow" w:cs="Arial"/>
                <w:b/>
              </w:rPr>
              <w:t>Criteria</w:t>
            </w:r>
          </w:p>
        </w:tc>
        <w:tc>
          <w:tcPr>
            <w:tcW w:w="1440" w:type="dxa"/>
            <w:gridSpan w:val="2"/>
          </w:tcPr>
          <w:p w:rsidR="002421E2" w:rsidRPr="004119E8" w:rsidRDefault="002421E2" w:rsidP="002421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19E8">
              <w:rPr>
                <w:rFonts w:ascii="Arial Narrow" w:hAnsi="Arial Narrow" w:cs="Arial"/>
                <w:b/>
                <w:sz w:val="20"/>
                <w:szCs w:val="20"/>
              </w:rPr>
              <w:t>Developing</w:t>
            </w:r>
          </w:p>
          <w:p w:rsidR="002421E2" w:rsidRPr="004119E8" w:rsidRDefault="002421E2" w:rsidP="002421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19E8">
              <w:rPr>
                <w:rFonts w:ascii="Arial Narrow" w:hAnsi="Arial Narrow" w:cs="Arial"/>
                <w:b/>
                <w:sz w:val="20"/>
                <w:szCs w:val="20"/>
              </w:rPr>
              <w:t>(# of students)</w:t>
            </w:r>
          </w:p>
        </w:tc>
        <w:tc>
          <w:tcPr>
            <w:tcW w:w="1440" w:type="dxa"/>
            <w:gridSpan w:val="2"/>
          </w:tcPr>
          <w:p w:rsidR="002421E2" w:rsidRPr="004119E8" w:rsidRDefault="002421E2" w:rsidP="002421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19E8">
              <w:rPr>
                <w:rFonts w:ascii="Arial Narrow" w:hAnsi="Arial Narrow" w:cs="Arial"/>
                <w:b/>
                <w:sz w:val="20"/>
                <w:szCs w:val="20"/>
              </w:rPr>
              <w:t>Adequate</w:t>
            </w:r>
          </w:p>
          <w:p w:rsidR="002421E2" w:rsidRPr="004119E8" w:rsidRDefault="002421E2" w:rsidP="002421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19E8">
              <w:rPr>
                <w:rFonts w:ascii="Arial Narrow" w:hAnsi="Arial Narrow" w:cs="Arial"/>
                <w:b/>
                <w:sz w:val="20"/>
                <w:szCs w:val="20"/>
              </w:rPr>
              <w:t>(# of students)</w:t>
            </w:r>
          </w:p>
        </w:tc>
        <w:tc>
          <w:tcPr>
            <w:tcW w:w="1455" w:type="dxa"/>
            <w:gridSpan w:val="2"/>
          </w:tcPr>
          <w:p w:rsidR="002421E2" w:rsidRPr="004119E8" w:rsidRDefault="002421E2" w:rsidP="002421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19E8">
              <w:rPr>
                <w:rFonts w:ascii="Arial Narrow" w:hAnsi="Arial Narrow" w:cs="Arial"/>
                <w:b/>
                <w:sz w:val="20"/>
                <w:szCs w:val="20"/>
              </w:rPr>
              <w:t>Proficient</w:t>
            </w:r>
          </w:p>
          <w:p w:rsidR="002421E2" w:rsidRPr="004119E8" w:rsidRDefault="002421E2" w:rsidP="002421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19E8">
              <w:rPr>
                <w:rFonts w:ascii="Arial Narrow" w:hAnsi="Arial Narrow" w:cs="Arial"/>
                <w:b/>
                <w:sz w:val="20"/>
                <w:szCs w:val="20"/>
              </w:rPr>
              <w:t>(# of students)</w:t>
            </w:r>
          </w:p>
        </w:tc>
      </w:tr>
      <w:tr w:rsidR="002C33EB" w:rsidRPr="004119E8" w:rsidTr="002421E2">
        <w:tc>
          <w:tcPr>
            <w:tcW w:w="4608" w:type="dxa"/>
          </w:tcPr>
          <w:p w:rsidR="002C33EB" w:rsidRPr="004119E8" w:rsidRDefault="002C33E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421E2" w:rsidRPr="004119E8" w:rsidRDefault="002421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19E8">
              <w:rPr>
                <w:rFonts w:ascii="Arial Narrow" w:hAnsi="Arial Narrow" w:cs="Arial"/>
                <w:b/>
                <w:sz w:val="20"/>
                <w:szCs w:val="20"/>
              </w:rPr>
              <w:t xml:space="preserve">1.  </w:t>
            </w:r>
            <w:r w:rsidR="00DD0E4F">
              <w:rPr>
                <w:rFonts w:ascii="Arial Narrow" w:hAnsi="Arial Narrow" w:cs="Arial"/>
                <w:b/>
                <w:sz w:val="20"/>
                <w:szCs w:val="20"/>
              </w:rPr>
              <w:t>Identifies and explains issues</w:t>
            </w:r>
          </w:p>
          <w:p w:rsidR="002421E2" w:rsidRPr="004119E8" w:rsidRDefault="002421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421E2" w:rsidRPr="004119E8" w:rsidRDefault="002421E2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C33EB" w:rsidRPr="004119E8" w:rsidRDefault="009F248C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38</w:t>
            </w:r>
          </w:p>
        </w:tc>
        <w:tc>
          <w:tcPr>
            <w:tcW w:w="720" w:type="dxa"/>
          </w:tcPr>
          <w:p w:rsidR="002421E2" w:rsidRPr="004119E8" w:rsidRDefault="002421E2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C33EB" w:rsidRPr="004119E8" w:rsidRDefault="009F248C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  <w:r w:rsidR="002C33EB" w:rsidRPr="004119E8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  <w:tc>
          <w:tcPr>
            <w:tcW w:w="720" w:type="dxa"/>
          </w:tcPr>
          <w:p w:rsidR="002421E2" w:rsidRPr="004119E8" w:rsidRDefault="002421E2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C33EB" w:rsidRPr="004119E8" w:rsidRDefault="009F248C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59</w:t>
            </w:r>
          </w:p>
        </w:tc>
        <w:tc>
          <w:tcPr>
            <w:tcW w:w="720" w:type="dxa"/>
          </w:tcPr>
          <w:p w:rsidR="002421E2" w:rsidRPr="004119E8" w:rsidRDefault="002421E2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C33EB" w:rsidRPr="004119E8" w:rsidRDefault="009F248C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22</w:t>
            </w:r>
            <w:r w:rsidR="002C33EB" w:rsidRPr="004119E8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  <w:tc>
          <w:tcPr>
            <w:tcW w:w="720" w:type="dxa"/>
          </w:tcPr>
          <w:p w:rsidR="002421E2" w:rsidRPr="004119E8" w:rsidRDefault="002421E2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C33EB" w:rsidRPr="004119E8" w:rsidRDefault="009F248C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175</w:t>
            </w:r>
          </w:p>
        </w:tc>
        <w:tc>
          <w:tcPr>
            <w:tcW w:w="735" w:type="dxa"/>
          </w:tcPr>
          <w:p w:rsidR="002421E2" w:rsidRPr="004119E8" w:rsidRDefault="002421E2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C33EB" w:rsidRPr="004119E8" w:rsidRDefault="009F248C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64</w:t>
            </w:r>
            <w:r w:rsidR="002C33EB" w:rsidRPr="004119E8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</w:tr>
      <w:tr w:rsidR="002C33EB" w:rsidRPr="004119E8" w:rsidTr="002421E2">
        <w:tc>
          <w:tcPr>
            <w:tcW w:w="4608" w:type="dxa"/>
          </w:tcPr>
          <w:p w:rsidR="002C33EB" w:rsidRPr="004119E8" w:rsidRDefault="002C33E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421E2" w:rsidRPr="004119E8" w:rsidRDefault="002421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19E8">
              <w:rPr>
                <w:rFonts w:ascii="Arial Narrow" w:hAnsi="Arial Narrow" w:cs="Arial"/>
                <w:b/>
                <w:sz w:val="20"/>
                <w:szCs w:val="20"/>
              </w:rPr>
              <w:t xml:space="preserve">2.  </w:t>
            </w:r>
            <w:r w:rsidR="00DD0E4F">
              <w:rPr>
                <w:rFonts w:ascii="Arial Narrow" w:hAnsi="Arial Narrow" w:cs="Arial"/>
                <w:b/>
                <w:sz w:val="20"/>
                <w:szCs w:val="20"/>
              </w:rPr>
              <w:t>Recognizes contexts and assumptions</w:t>
            </w:r>
          </w:p>
          <w:p w:rsidR="002421E2" w:rsidRPr="004119E8" w:rsidRDefault="002421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421E2" w:rsidRPr="004119E8" w:rsidRDefault="002421E2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C33EB" w:rsidRPr="004119E8" w:rsidRDefault="009F248C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52</w:t>
            </w:r>
          </w:p>
          <w:p w:rsidR="002C33EB" w:rsidRPr="004119E8" w:rsidRDefault="002C33EB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421E2" w:rsidRPr="004119E8" w:rsidRDefault="002421E2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C33EB" w:rsidRPr="004119E8" w:rsidRDefault="009F248C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</w:t>
            </w:r>
            <w:r w:rsidR="002C33EB" w:rsidRPr="004119E8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  <w:tc>
          <w:tcPr>
            <w:tcW w:w="720" w:type="dxa"/>
          </w:tcPr>
          <w:p w:rsidR="002421E2" w:rsidRPr="004119E8" w:rsidRDefault="002421E2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C33EB" w:rsidRPr="004119E8" w:rsidRDefault="009F248C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95</w:t>
            </w:r>
          </w:p>
        </w:tc>
        <w:tc>
          <w:tcPr>
            <w:tcW w:w="720" w:type="dxa"/>
          </w:tcPr>
          <w:p w:rsidR="002421E2" w:rsidRPr="004119E8" w:rsidRDefault="002421E2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C33EB" w:rsidRPr="004119E8" w:rsidRDefault="009F248C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</w:t>
            </w:r>
            <w:r w:rsidR="002C33EB" w:rsidRPr="004119E8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  <w:tc>
          <w:tcPr>
            <w:tcW w:w="720" w:type="dxa"/>
          </w:tcPr>
          <w:p w:rsidR="002421E2" w:rsidRPr="004119E8" w:rsidRDefault="002421E2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C33EB" w:rsidRPr="004119E8" w:rsidRDefault="009F248C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125</w:t>
            </w:r>
          </w:p>
        </w:tc>
        <w:tc>
          <w:tcPr>
            <w:tcW w:w="735" w:type="dxa"/>
          </w:tcPr>
          <w:p w:rsidR="002C33EB" w:rsidRPr="004119E8" w:rsidRDefault="002C33EB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421E2" w:rsidRPr="004119E8" w:rsidRDefault="009F248C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</w:t>
            </w:r>
            <w:r w:rsidR="002C33EB" w:rsidRPr="004119E8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</w:tr>
      <w:tr w:rsidR="002C33EB" w:rsidRPr="004119E8" w:rsidTr="002421E2">
        <w:tc>
          <w:tcPr>
            <w:tcW w:w="4608" w:type="dxa"/>
          </w:tcPr>
          <w:p w:rsidR="002C33EB" w:rsidRPr="004119E8" w:rsidRDefault="002C33E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421E2" w:rsidRPr="004119E8" w:rsidRDefault="002421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19E8">
              <w:rPr>
                <w:rFonts w:ascii="Arial Narrow" w:hAnsi="Arial Narrow" w:cs="Arial"/>
                <w:b/>
                <w:sz w:val="20"/>
                <w:szCs w:val="20"/>
              </w:rPr>
              <w:t xml:space="preserve">3.  </w:t>
            </w:r>
            <w:r w:rsidR="00DD0E4F">
              <w:rPr>
                <w:rFonts w:ascii="Arial Narrow" w:hAnsi="Arial Narrow" w:cs="Arial"/>
                <w:b/>
                <w:sz w:val="20"/>
                <w:szCs w:val="20"/>
              </w:rPr>
              <w:t>Acknowledges multiple perspectives</w:t>
            </w:r>
          </w:p>
          <w:p w:rsidR="002421E2" w:rsidRPr="004119E8" w:rsidRDefault="002421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421E2" w:rsidRPr="004119E8" w:rsidRDefault="002421E2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C33EB" w:rsidRPr="004119E8" w:rsidRDefault="009F248C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2421E2" w:rsidRPr="004119E8" w:rsidRDefault="002421E2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C33EB" w:rsidRPr="004119E8" w:rsidRDefault="009F248C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2C33EB" w:rsidRPr="004119E8">
              <w:rPr>
                <w:rFonts w:ascii="Arial Narrow" w:hAnsi="Arial Narrow" w:cs="Arial"/>
                <w:sz w:val="20"/>
                <w:szCs w:val="20"/>
              </w:rPr>
              <w:t>%</w:t>
            </w:r>
          </w:p>
          <w:p w:rsidR="002C33EB" w:rsidRPr="004119E8" w:rsidRDefault="002C33EB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421E2" w:rsidRPr="004119E8" w:rsidRDefault="002421E2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C33EB" w:rsidRPr="004119E8" w:rsidRDefault="009F248C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61</w:t>
            </w:r>
          </w:p>
        </w:tc>
        <w:tc>
          <w:tcPr>
            <w:tcW w:w="720" w:type="dxa"/>
          </w:tcPr>
          <w:p w:rsidR="002421E2" w:rsidRPr="004119E8" w:rsidRDefault="002421E2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C33EB" w:rsidRPr="004119E8" w:rsidRDefault="009F248C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22</w:t>
            </w:r>
            <w:r w:rsidR="002C33EB" w:rsidRPr="004119E8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  <w:tc>
          <w:tcPr>
            <w:tcW w:w="720" w:type="dxa"/>
          </w:tcPr>
          <w:p w:rsidR="002421E2" w:rsidRPr="004119E8" w:rsidRDefault="002421E2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C33EB" w:rsidRPr="004119E8" w:rsidRDefault="009F248C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186</w:t>
            </w:r>
          </w:p>
        </w:tc>
        <w:tc>
          <w:tcPr>
            <w:tcW w:w="735" w:type="dxa"/>
          </w:tcPr>
          <w:p w:rsidR="002421E2" w:rsidRPr="004119E8" w:rsidRDefault="002421E2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C33EB" w:rsidRPr="004119E8" w:rsidRDefault="009F248C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69</w:t>
            </w:r>
            <w:r w:rsidR="002C33EB" w:rsidRPr="004119E8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</w:tr>
      <w:tr w:rsidR="002C33EB" w:rsidRPr="004119E8" w:rsidTr="002421E2">
        <w:tc>
          <w:tcPr>
            <w:tcW w:w="4608" w:type="dxa"/>
          </w:tcPr>
          <w:p w:rsidR="002C33EB" w:rsidRPr="004119E8" w:rsidRDefault="002C33E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421E2" w:rsidRPr="004119E8" w:rsidRDefault="002421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19E8">
              <w:rPr>
                <w:rFonts w:ascii="Arial Narrow" w:hAnsi="Arial Narrow" w:cs="Arial"/>
                <w:b/>
                <w:sz w:val="20"/>
                <w:szCs w:val="20"/>
              </w:rPr>
              <w:t xml:space="preserve">4.  </w:t>
            </w:r>
            <w:r w:rsidR="00DD0E4F">
              <w:rPr>
                <w:rFonts w:ascii="Arial Narrow" w:hAnsi="Arial Narrow" w:cs="Arial"/>
                <w:b/>
                <w:sz w:val="20"/>
                <w:szCs w:val="20"/>
              </w:rPr>
              <w:t>Evaluates evidence to reach conclusions</w:t>
            </w:r>
          </w:p>
          <w:p w:rsidR="002421E2" w:rsidRPr="004119E8" w:rsidRDefault="002421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421E2" w:rsidRPr="004119E8" w:rsidRDefault="002421E2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C33EB" w:rsidRPr="004119E8" w:rsidRDefault="009F248C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58</w:t>
            </w:r>
          </w:p>
        </w:tc>
        <w:tc>
          <w:tcPr>
            <w:tcW w:w="720" w:type="dxa"/>
          </w:tcPr>
          <w:p w:rsidR="002421E2" w:rsidRPr="004119E8" w:rsidRDefault="002421E2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C33EB" w:rsidRPr="004119E8" w:rsidRDefault="009F248C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21</w:t>
            </w:r>
            <w:r w:rsidR="002C33EB" w:rsidRPr="004119E8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  <w:tc>
          <w:tcPr>
            <w:tcW w:w="720" w:type="dxa"/>
          </w:tcPr>
          <w:p w:rsidR="002421E2" w:rsidRPr="004119E8" w:rsidRDefault="002421E2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C33EB" w:rsidRPr="004119E8" w:rsidRDefault="009F248C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2C33EB" w:rsidRPr="004119E8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421E2" w:rsidRPr="004119E8" w:rsidRDefault="002421E2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C33EB" w:rsidRPr="004119E8" w:rsidRDefault="009F248C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</w:t>
            </w:r>
            <w:r w:rsidR="002C33EB" w:rsidRPr="004119E8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  <w:tc>
          <w:tcPr>
            <w:tcW w:w="720" w:type="dxa"/>
          </w:tcPr>
          <w:p w:rsidR="002421E2" w:rsidRPr="004119E8" w:rsidRDefault="002421E2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C33EB" w:rsidRPr="004119E8" w:rsidRDefault="009F248C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124</w:t>
            </w:r>
          </w:p>
        </w:tc>
        <w:tc>
          <w:tcPr>
            <w:tcW w:w="735" w:type="dxa"/>
          </w:tcPr>
          <w:p w:rsidR="002421E2" w:rsidRPr="004119E8" w:rsidRDefault="002421E2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C33EB" w:rsidRPr="004119E8" w:rsidRDefault="009F248C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</w:t>
            </w:r>
            <w:r w:rsidR="002C33EB" w:rsidRPr="004119E8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</w:tr>
      <w:tr w:rsidR="002C33EB" w:rsidRPr="004119E8" w:rsidTr="002421E2">
        <w:tc>
          <w:tcPr>
            <w:tcW w:w="4608" w:type="dxa"/>
          </w:tcPr>
          <w:p w:rsidR="002C33EB" w:rsidRPr="004119E8" w:rsidRDefault="002C33E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421E2" w:rsidRPr="004119E8" w:rsidRDefault="002421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19E8">
              <w:rPr>
                <w:rFonts w:ascii="Arial Narrow" w:hAnsi="Arial Narrow" w:cs="Arial"/>
                <w:b/>
                <w:sz w:val="20"/>
                <w:szCs w:val="20"/>
              </w:rPr>
              <w:t>Averages</w:t>
            </w:r>
          </w:p>
          <w:p w:rsidR="002421E2" w:rsidRPr="004119E8" w:rsidRDefault="002421E2" w:rsidP="00DD0E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19E8">
              <w:rPr>
                <w:rFonts w:ascii="Arial Narrow" w:hAnsi="Arial Narrow" w:cs="Arial"/>
                <w:b/>
                <w:sz w:val="20"/>
                <w:szCs w:val="20"/>
              </w:rPr>
              <w:t xml:space="preserve">(based on </w:t>
            </w:r>
            <w:r w:rsidR="00DD0E4F">
              <w:rPr>
                <w:rFonts w:ascii="Arial Narrow" w:hAnsi="Arial Narrow" w:cs="Arial"/>
                <w:b/>
                <w:sz w:val="20"/>
                <w:szCs w:val="20"/>
              </w:rPr>
              <w:t>272</w:t>
            </w:r>
            <w:r w:rsidRPr="004119E8">
              <w:rPr>
                <w:rFonts w:ascii="Arial Narrow" w:hAnsi="Arial Narrow" w:cs="Arial"/>
                <w:b/>
                <w:sz w:val="20"/>
                <w:szCs w:val="20"/>
              </w:rPr>
              <w:t xml:space="preserve"> student sample size)</w:t>
            </w:r>
          </w:p>
        </w:tc>
        <w:tc>
          <w:tcPr>
            <w:tcW w:w="720" w:type="dxa"/>
          </w:tcPr>
          <w:p w:rsidR="002C33EB" w:rsidRPr="004119E8" w:rsidRDefault="002C33EB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C33EB" w:rsidRPr="004119E8" w:rsidRDefault="002C33EB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C33EB" w:rsidRPr="004119E8" w:rsidRDefault="009F248C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15.75</w:t>
            </w:r>
            <w:r w:rsidR="002C33EB" w:rsidRPr="004119E8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  <w:tc>
          <w:tcPr>
            <w:tcW w:w="720" w:type="dxa"/>
          </w:tcPr>
          <w:p w:rsidR="002421E2" w:rsidRPr="004119E8" w:rsidRDefault="002421E2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C33EB" w:rsidRPr="004119E8" w:rsidRDefault="002C33EB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421E2" w:rsidRPr="004119E8" w:rsidRDefault="002421E2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C33EB" w:rsidRPr="004119E8" w:rsidRDefault="009F248C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</w:t>
            </w:r>
            <w:r w:rsidR="002C33EB" w:rsidRPr="004119E8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  <w:tc>
          <w:tcPr>
            <w:tcW w:w="720" w:type="dxa"/>
          </w:tcPr>
          <w:p w:rsidR="002421E2" w:rsidRPr="004119E8" w:rsidRDefault="002421E2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5" w:type="dxa"/>
          </w:tcPr>
          <w:p w:rsidR="002421E2" w:rsidRPr="004119E8" w:rsidRDefault="002421E2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C33EB" w:rsidRPr="004119E8" w:rsidRDefault="009F248C" w:rsidP="002C33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56.25</w:t>
            </w:r>
            <w:r w:rsidR="002C33EB" w:rsidRPr="004119E8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</w:tr>
    </w:tbl>
    <w:p w:rsidR="00D66962" w:rsidRPr="004119E8" w:rsidRDefault="00D66962">
      <w:pPr>
        <w:pBdr>
          <w:bottom w:val="single" w:sz="12" w:space="1" w:color="auto"/>
        </w:pBdr>
        <w:rPr>
          <w:rFonts w:ascii="Arial Narrow" w:hAnsi="Arial Narrow" w:cs="Arial"/>
        </w:rPr>
      </w:pPr>
      <w:r w:rsidRPr="004119E8">
        <w:rPr>
          <w:rFonts w:ascii="Arial Narrow" w:hAnsi="Arial Narrow" w:cs="Arial"/>
        </w:rPr>
        <w:tab/>
      </w:r>
    </w:p>
    <w:p w:rsidR="002C33EB" w:rsidRPr="004119E8" w:rsidRDefault="002C33EB">
      <w:pPr>
        <w:rPr>
          <w:rFonts w:ascii="Arial Narrow" w:hAnsi="Arial Narrow" w:cs="Arial"/>
        </w:rPr>
      </w:pPr>
    </w:p>
    <w:p w:rsidR="002C33EB" w:rsidRPr="004119E8" w:rsidRDefault="002C33EB" w:rsidP="002C33EB">
      <w:pPr>
        <w:ind w:left="4320" w:hanging="3600"/>
        <w:rPr>
          <w:rFonts w:ascii="Arial Narrow" w:hAnsi="Arial Narrow" w:cs="Arial"/>
        </w:rPr>
      </w:pPr>
      <w:r w:rsidRPr="004119E8">
        <w:rPr>
          <w:rFonts w:ascii="Arial Narrow" w:hAnsi="Arial Narrow" w:cs="Arial"/>
          <w:b/>
        </w:rPr>
        <w:t>Institutional Benchmark:</w:t>
      </w:r>
      <w:r w:rsidRPr="004119E8">
        <w:rPr>
          <w:rFonts w:ascii="Arial Narrow" w:hAnsi="Arial Narrow" w:cs="Arial"/>
        </w:rPr>
        <w:tab/>
        <w:t>85%</w:t>
      </w:r>
      <w:r w:rsidRPr="004119E8">
        <w:rPr>
          <w:rFonts w:ascii="Arial Narrow" w:hAnsi="Arial Narrow" w:cs="Arial"/>
        </w:rPr>
        <w:tab/>
        <w:t xml:space="preserve">Institutional benchmark goal for </w:t>
      </w:r>
    </w:p>
    <w:p w:rsidR="002C33EB" w:rsidRPr="004119E8" w:rsidRDefault="002C33EB" w:rsidP="002C33EB">
      <w:pPr>
        <w:ind w:left="4320" w:hanging="3600"/>
        <w:rPr>
          <w:rFonts w:ascii="Arial Narrow" w:hAnsi="Arial Narrow" w:cs="Arial"/>
        </w:rPr>
      </w:pPr>
      <w:r w:rsidRPr="004119E8">
        <w:rPr>
          <w:rFonts w:ascii="Arial Narrow" w:hAnsi="Arial Narrow" w:cs="Arial"/>
        </w:rPr>
        <w:tab/>
      </w:r>
      <w:r w:rsidRPr="004119E8">
        <w:rPr>
          <w:rFonts w:ascii="Arial Narrow" w:hAnsi="Arial Narrow" w:cs="Arial"/>
        </w:rPr>
        <w:tab/>
        <w:t xml:space="preserve">Percent of students meeting </w:t>
      </w:r>
    </w:p>
    <w:p w:rsidR="002C33EB" w:rsidRPr="004119E8" w:rsidRDefault="002C33EB" w:rsidP="002C33EB">
      <w:pPr>
        <w:ind w:left="4320" w:hanging="3600"/>
        <w:rPr>
          <w:rFonts w:ascii="Arial Narrow" w:hAnsi="Arial Narrow" w:cs="Arial"/>
        </w:rPr>
      </w:pPr>
      <w:r w:rsidRPr="004119E8">
        <w:rPr>
          <w:rFonts w:ascii="Arial Narrow" w:hAnsi="Arial Narrow" w:cs="Arial"/>
        </w:rPr>
        <w:tab/>
      </w:r>
      <w:r w:rsidRPr="004119E8">
        <w:rPr>
          <w:rFonts w:ascii="Arial Narrow" w:hAnsi="Arial Narrow" w:cs="Arial"/>
        </w:rPr>
        <w:tab/>
        <w:t>“Adequate” or “Proficient” levels</w:t>
      </w:r>
    </w:p>
    <w:p w:rsidR="002C33EB" w:rsidRPr="004119E8" w:rsidRDefault="002C33EB" w:rsidP="002C33EB">
      <w:pPr>
        <w:ind w:left="4320" w:hanging="3600"/>
        <w:rPr>
          <w:rFonts w:ascii="Arial Narrow" w:hAnsi="Arial Narrow" w:cs="Arial"/>
        </w:rPr>
      </w:pPr>
    </w:p>
    <w:p w:rsidR="002C33EB" w:rsidRPr="004119E8" w:rsidRDefault="004119E8" w:rsidP="002C33EB">
      <w:pPr>
        <w:ind w:left="4320" w:hanging="3600"/>
        <w:rPr>
          <w:rFonts w:ascii="Arial Narrow" w:hAnsi="Arial Narrow" w:cs="Arial"/>
        </w:rPr>
      </w:pPr>
      <w:r w:rsidRPr="004119E8">
        <w:rPr>
          <w:rFonts w:ascii="Arial Narrow" w:hAnsi="Arial Narrow" w:cs="Arial"/>
          <w:b/>
        </w:rPr>
        <w:t>Percent Achieving Benchmark:</w:t>
      </w:r>
      <w:r w:rsidRPr="004119E8">
        <w:rPr>
          <w:rFonts w:ascii="Arial Narrow" w:hAnsi="Arial Narrow" w:cs="Arial"/>
        </w:rPr>
        <w:tab/>
      </w:r>
      <w:r w:rsidR="00DD0E4F">
        <w:rPr>
          <w:rFonts w:ascii="Arial Narrow" w:hAnsi="Arial Narrow" w:cs="Arial"/>
        </w:rPr>
        <w:t>84.25</w:t>
      </w:r>
      <w:r w:rsidRPr="004119E8">
        <w:rPr>
          <w:rFonts w:ascii="Arial Narrow" w:hAnsi="Arial Narrow" w:cs="Arial"/>
        </w:rPr>
        <w:t>%</w:t>
      </w:r>
      <w:r w:rsidRPr="004119E8">
        <w:rPr>
          <w:rFonts w:ascii="Arial Narrow" w:hAnsi="Arial Narrow" w:cs="Arial"/>
        </w:rPr>
        <w:tab/>
        <w:t xml:space="preserve">Actual percent of students meeting </w:t>
      </w:r>
    </w:p>
    <w:p w:rsidR="004119E8" w:rsidRDefault="004119E8" w:rsidP="002C33EB">
      <w:pPr>
        <w:ind w:left="4320" w:hanging="3600"/>
        <w:rPr>
          <w:rFonts w:ascii="Arial Narrow" w:hAnsi="Arial Narrow" w:cs="Arial"/>
        </w:rPr>
      </w:pPr>
      <w:r w:rsidRPr="004119E8">
        <w:rPr>
          <w:rFonts w:ascii="Arial Narrow" w:hAnsi="Arial Narrow" w:cs="Arial"/>
        </w:rPr>
        <w:tab/>
      </w:r>
      <w:r w:rsidRPr="004119E8">
        <w:rPr>
          <w:rFonts w:ascii="Arial Narrow" w:hAnsi="Arial Narrow" w:cs="Arial"/>
        </w:rPr>
        <w:tab/>
        <w:t>“Adequate” or “Proficient” levels</w:t>
      </w:r>
    </w:p>
    <w:p w:rsidR="009D652B" w:rsidRDefault="009D652B" w:rsidP="002C33EB">
      <w:pPr>
        <w:ind w:left="4320" w:hanging="3600"/>
        <w:rPr>
          <w:rFonts w:ascii="Arial Narrow" w:hAnsi="Arial Narrow" w:cs="Arial"/>
        </w:rPr>
      </w:pPr>
    </w:p>
    <w:p w:rsidR="00C462D4" w:rsidRDefault="009D652B" w:rsidP="009D652B">
      <w:pPr>
        <w:ind w:left="720"/>
        <w:rPr>
          <w:rFonts w:ascii="Arial Narrow" w:hAnsi="Arial Narrow" w:cs="Arial"/>
        </w:rPr>
      </w:pPr>
      <w:r w:rsidRPr="009D652B">
        <w:rPr>
          <w:rFonts w:ascii="Arial Narrow" w:hAnsi="Arial Narrow" w:cs="Arial"/>
          <w:b/>
        </w:rPr>
        <w:t>Analysis:</w:t>
      </w:r>
      <w:r>
        <w:rPr>
          <w:rFonts w:ascii="Arial Narrow" w:hAnsi="Arial Narrow" w:cs="Arial"/>
        </w:rPr>
        <w:t xml:space="preserve">  The following disciplinary areas were represented in this sampling of the </w:t>
      </w:r>
      <w:r w:rsidR="009F248C">
        <w:rPr>
          <w:rFonts w:ascii="Arial Narrow" w:hAnsi="Arial Narrow" w:cs="Arial"/>
        </w:rPr>
        <w:t>Critical Thinking</w:t>
      </w:r>
      <w:r>
        <w:rPr>
          <w:rFonts w:ascii="Arial Narrow" w:hAnsi="Arial Narrow" w:cs="Arial"/>
        </w:rPr>
        <w:t xml:space="preserve"> learning outcome: </w:t>
      </w:r>
      <w:r w:rsidR="009F248C">
        <w:rPr>
          <w:rFonts w:ascii="Arial Narrow" w:hAnsi="Arial Narrow" w:cs="Arial"/>
        </w:rPr>
        <w:t>BIOL 101, GEOL 102, PHIL 101, SSCI 101, CHEM 204, ECON 201, GEND 220, HIST 202, MUS 201, THEA 261, WR 222</w:t>
      </w:r>
      <w:r>
        <w:rPr>
          <w:rFonts w:ascii="Arial Narrow" w:hAnsi="Arial Narrow" w:cs="Arial"/>
        </w:rPr>
        <w:t xml:space="preserve">.  </w:t>
      </w:r>
      <w:r w:rsidR="003852A8">
        <w:rPr>
          <w:rFonts w:ascii="Arial Narrow" w:hAnsi="Arial Narrow" w:cs="Arial"/>
        </w:rPr>
        <w:t>There was good balance of samplings from each of the divisions in the College of Arts and Sciences.</w:t>
      </w:r>
    </w:p>
    <w:p w:rsidR="00C462D4" w:rsidRDefault="00C462D4" w:rsidP="009D652B">
      <w:pPr>
        <w:ind w:left="720"/>
        <w:rPr>
          <w:rFonts w:ascii="Arial Narrow" w:hAnsi="Arial Narrow" w:cs="Arial"/>
        </w:rPr>
      </w:pPr>
    </w:p>
    <w:p w:rsidR="00DD0F89" w:rsidRDefault="00F81DF7" w:rsidP="009D652B">
      <w:pPr>
        <w:ind w:left="720"/>
        <w:rPr>
          <w:rFonts w:ascii="Arial Narrow" w:hAnsi="Arial Narrow" w:cs="Arial"/>
        </w:rPr>
      </w:pPr>
      <w:r>
        <w:rPr>
          <w:rFonts w:ascii="Arial Narrow" w:hAnsi="Arial Narrow" w:cs="Arial"/>
        </w:rPr>
        <w:t>In the selection of assignment</w:t>
      </w:r>
      <w:r w:rsidR="00F3250A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and understanding of the criteria, faculty were normed in two groups</w:t>
      </w:r>
      <w:r w:rsidR="00987B73">
        <w:rPr>
          <w:rFonts w:ascii="Arial Narrow" w:hAnsi="Arial Narrow" w:cs="Arial"/>
        </w:rPr>
        <w:t xml:space="preserve"> and encouraged to select an assignment for </w:t>
      </w:r>
      <w:r w:rsidR="003852A8">
        <w:rPr>
          <w:rFonts w:ascii="Arial Narrow" w:hAnsi="Arial Narrow" w:cs="Arial"/>
        </w:rPr>
        <w:t xml:space="preserve">their </w:t>
      </w:r>
      <w:r w:rsidR="00987B73">
        <w:rPr>
          <w:rFonts w:ascii="Arial Narrow" w:hAnsi="Arial Narrow" w:cs="Arial"/>
        </w:rPr>
        <w:t>assessment near the end of the term.  All</w:t>
      </w:r>
      <w:r>
        <w:rPr>
          <w:rFonts w:ascii="Arial Narrow" w:hAnsi="Arial Narrow" w:cs="Arial"/>
        </w:rPr>
        <w:t xml:space="preserve"> but </w:t>
      </w:r>
      <w:r w:rsidR="00987B73">
        <w:rPr>
          <w:rFonts w:ascii="Arial Narrow" w:hAnsi="Arial Narrow" w:cs="Arial"/>
        </w:rPr>
        <w:t>three participants</w:t>
      </w:r>
      <w:r>
        <w:rPr>
          <w:rFonts w:ascii="Arial Narrow" w:hAnsi="Arial Narrow" w:cs="Arial"/>
        </w:rPr>
        <w:t xml:space="preserve"> select</w:t>
      </w:r>
      <w:r w:rsidR="00987B73">
        <w:rPr>
          <w:rFonts w:ascii="Arial Narrow" w:hAnsi="Arial Narrow" w:cs="Arial"/>
        </w:rPr>
        <w:t>ed</w:t>
      </w:r>
      <w:r>
        <w:rPr>
          <w:rFonts w:ascii="Arial Narrow" w:hAnsi="Arial Narrow" w:cs="Arial"/>
        </w:rPr>
        <w:t xml:space="preserve"> an assignment/exam either at mid-term (4</w:t>
      </w:r>
      <w:r w:rsidRPr="00F81DF7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 xml:space="preserve"> or 5</w:t>
      </w:r>
      <w:r w:rsidRPr="00F81DF7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 xml:space="preserve"> week) or near the end of the course (9</w:t>
      </w:r>
      <w:r w:rsidRPr="00F81DF7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 xml:space="preserve"> or 10</w:t>
      </w:r>
      <w:r w:rsidRPr="00F81DF7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 xml:space="preserve"> week).  </w:t>
      </w:r>
      <w:r w:rsidR="00987B73">
        <w:rPr>
          <w:rFonts w:ascii="Arial Narrow" w:hAnsi="Arial Narrow" w:cs="Arial"/>
        </w:rPr>
        <w:t>Three participants</w:t>
      </w:r>
      <w:r>
        <w:rPr>
          <w:rFonts w:ascii="Arial Narrow" w:hAnsi="Arial Narrow" w:cs="Arial"/>
        </w:rPr>
        <w:t xml:space="preserve"> employed the </w:t>
      </w:r>
      <w:r>
        <w:rPr>
          <w:rFonts w:ascii="Arial Narrow" w:hAnsi="Arial Narrow" w:cs="Arial"/>
        </w:rPr>
        <w:lastRenderedPageBreak/>
        <w:t xml:space="preserve">rubric as a screening tool for </w:t>
      </w:r>
      <w:r w:rsidR="00987B73">
        <w:rPr>
          <w:rFonts w:ascii="Arial Narrow" w:hAnsi="Arial Narrow" w:cs="Arial"/>
        </w:rPr>
        <w:t>their courses. A</w:t>
      </w:r>
      <w:r>
        <w:rPr>
          <w:rFonts w:ascii="Arial Narrow" w:hAnsi="Arial Narrow" w:cs="Arial"/>
        </w:rPr>
        <w:t xml:space="preserve"> high percentage of </w:t>
      </w:r>
      <w:r w:rsidR="00987B73">
        <w:rPr>
          <w:rFonts w:ascii="Arial Narrow" w:hAnsi="Arial Narrow" w:cs="Arial"/>
        </w:rPr>
        <w:t>students performed</w:t>
      </w:r>
      <w:r>
        <w:rPr>
          <w:rFonts w:ascii="Arial Narrow" w:hAnsi="Arial Narrow" w:cs="Arial"/>
        </w:rPr>
        <w:t xml:space="preserve"> at adequate or proficient levels upon entry </w:t>
      </w:r>
      <w:r w:rsidR="00987B73">
        <w:rPr>
          <w:rFonts w:ascii="Arial Narrow" w:hAnsi="Arial Narrow" w:cs="Arial"/>
        </w:rPr>
        <w:t xml:space="preserve">into two of the courses, while </w:t>
      </w:r>
      <w:r w:rsidR="003852A8">
        <w:rPr>
          <w:rFonts w:ascii="Arial Narrow" w:hAnsi="Arial Narrow" w:cs="Arial"/>
        </w:rPr>
        <w:t xml:space="preserve">in the third, </w:t>
      </w:r>
      <w:r w:rsidR="00987B73">
        <w:rPr>
          <w:rFonts w:ascii="Arial Narrow" w:hAnsi="Arial Narrow" w:cs="Arial"/>
        </w:rPr>
        <w:t>a high percentage of students performed at developing levels</w:t>
      </w:r>
      <w:r w:rsidR="003852A8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:rsidR="00F3250A" w:rsidRDefault="00F81DF7" w:rsidP="009D652B">
      <w:pPr>
        <w:ind w:left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2675" w:rsidRDefault="003852A8" w:rsidP="009D652B">
      <w:pPr>
        <w:ind w:left="720"/>
        <w:rPr>
          <w:rFonts w:ascii="Arial Narrow" w:hAnsi="Arial Narrow" w:cs="Arial"/>
        </w:rPr>
      </w:pPr>
      <w:r>
        <w:rPr>
          <w:rFonts w:ascii="Arial Narrow" w:hAnsi="Arial Narrow" w:cs="Arial"/>
        </w:rPr>
        <w:t>Faculty who assessed Critical Thinking criteria</w:t>
      </w:r>
      <w:r w:rsidR="00F3250A">
        <w:rPr>
          <w:rFonts w:ascii="Arial Narrow" w:hAnsi="Arial Narrow" w:cs="Arial"/>
        </w:rPr>
        <w:t xml:space="preserve"> at mid-term </w:t>
      </w:r>
      <w:r w:rsidR="00B3628D">
        <w:rPr>
          <w:rFonts w:ascii="Arial Narrow" w:hAnsi="Arial Narrow" w:cs="Arial"/>
        </w:rPr>
        <w:t>noted that student were at the developing stage for criteria #2 and #4.  Those faculty report emphasizing these criteria throughout the revision process, which resulted in improvements, but these improvements were not included in the data collection for this sampling.</w:t>
      </w:r>
      <w:r w:rsidR="009E175C">
        <w:rPr>
          <w:rFonts w:ascii="Arial Narrow" w:hAnsi="Arial Narrow" w:cs="Arial"/>
        </w:rPr>
        <w:t xml:space="preserve"> </w:t>
      </w:r>
    </w:p>
    <w:p w:rsidR="00CA51E1" w:rsidRDefault="00CA51E1" w:rsidP="009D652B">
      <w:pPr>
        <w:ind w:left="720"/>
        <w:rPr>
          <w:rFonts w:ascii="Arial Narrow" w:hAnsi="Arial Narrow" w:cs="Arial"/>
          <w:b/>
        </w:rPr>
      </w:pPr>
    </w:p>
    <w:p w:rsidR="00171AC9" w:rsidRDefault="00EA2675" w:rsidP="009D652B">
      <w:pPr>
        <w:ind w:left="720"/>
        <w:rPr>
          <w:rFonts w:ascii="Arial Narrow" w:hAnsi="Arial Narrow" w:cs="Arial"/>
        </w:rPr>
      </w:pPr>
      <w:r w:rsidRPr="00742EDA">
        <w:rPr>
          <w:rFonts w:ascii="Arial Narrow" w:hAnsi="Arial Narrow" w:cs="Arial"/>
          <w:b/>
        </w:rPr>
        <w:t>Closing the Loop:</w:t>
      </w:r>
      <w:r>
        <w:rPr>
          <w:rFonts w:ascii="Arial Narrow" w:hAnsi="Arial Narrow" w:cs="Arial"/>
        </w:rPr>
        <w:t xml:space="preserve">  </w:t>
      </w:r>
      <w:r w:rsidR="00DD0F89">
        <w:rPr>
          <w:rFonts w:ascii="Arial Narrow" w:hAnsi="Arial Narrow" w:cs="Arial"/>
        </w:rPr>
        <w:t xml:space="preserve">Overall, students participating in this sampling of the GEC Critical Thinking outcome performed slightly below (84.25%) the institutional benchmark of 85% performing at Adequate or Proficient, a decrease of 4.75 percentage points from Spring 2008 (89%) when this outcome was last assessed.  In 9 of 10 courses, about 20% of students were at the developing stage for Criterion #4. “Evaluates evidence to reach conclusions” and for Criterion #2. “Recognizes contexts and assumptions.”  In 3 of 7 200-level courses, the percentage of students performing at the developing stage for Criteria #3 and #4 was markedly higher.  </w:t>
      </w:r>
    </w:p>
    <w:p w:rsidR="00171AC9" w:rsidRDefault="00171AC9" w:rsidP="009D652B">
      <w:pPr>
        <w:ind w:left="720"/>
        <w:rPr>
          <w:rFonts w:ascii="Arial Narrow" w:hAnsi="Arial Narrow" w:cs="Arial"/>
        </w:rPr>
      </w:pPr>
    </w:p>
    <w:p w:rsidR="00171AC9" w:rsidRPr="00742EDA" w:rsidRDefault="00171AC9" w:rsidP="009D652B">
      <w:pPr>
        <w:ind w:left="720"/>
        <w:rPr>
          <w:rFonts w:ascii="Arial Narrow" w:hAnsi="Arial Narrow" w:cs="Arial"/>
          <w:b/>
        </w:rPr>
      </w:pPr>
      <w:r w:rsidRPr="00742EDA">
        <w:rPr>
          <w:rFonts w:ascii="Arial Narrow" w:hAnsi="Arial Narrow" w:cs="Arial"/>
          <w:b/>
        </w:rPr>
        <w:t>Recommendations:</w:t>
      </w:r>
    </w:p>
    <w:p w:rsidR="00742EDA" w:rsidRDefault="00DD0F89" w:rsidP="00742EDA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Meet w/ GEC Sampling Team early </w:t>
      </w:r>
      <w:r w:rsidR="00B3628D">
        <w:rPr>
          <w:rFonts w:ascii="Arial Narrow" w:hAnsi="Arial Narrow" w:cs="Arial"/>
        </w:rPr>
        <w:t>during</w:t>
      </w:r>
      <w:r>
        <w:rPr>
          <w:rFonts w:ascii="Arial Narrow" w:hAnsi="Arial Narrow" w:cs="Arial"/>
        </w:rPr>
        <w:t xml:space="preserve"> Fall Orientation Week</w:t>
      </w:r>
    </w:p>
    <w:p w:rsidR="00742EDA" w:rsidRDefault="00DD0F89" w:rsidP="00742EDA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Norm faculty on criteria and select assignments situated near the end of term; recommend using rubric as screening tool </w:t>
      </w:r>
      <w:r w:rsidR="00655EBF">
        <w:rPr>
          <w:rFonts w:ascii="Arial Narrow" w:hAnsi="Arial Narrow" w:cs="Arial"/>
        </w:rPr>
        <w:t xml:space="preserve">pre- and post- so that </w:t>
      </w:r>
      <w:r>
        <w:rPr>
          <w:rFonts w:ascii="Arial Narrow" w:hAnsi="Arial Narrow" w:cs="Arial"/>
        </w:rPr>
        <w:t xml:space="preserve">summative </w:t>
      </w:r>
      <w:r w:rsidR="00655EBF">
        <w:rPr>
          <w:rFonts w:ascii="Arial Narrow" w:hAnsi="Arial Narrow" w:cs="Arial"/>
        </w:rPr>
        <w:t xml:space="preserve">data </w:t>
      </w:r>
      <w:r w:rsidR="00B3628D">
        <w:rPr>
          <w:rFonts w:ascii="Arial Narrow" w:hAnsi="Arial Narrow" w:cs="Arial"/>
        </w:rPr>
        <w:t>is being collected</w:t>
      </w:r>
      <w:r w:rsidR="00655EBF">
        <w:rPr>
          <w:rFonts w:ascii="Arial Narrow" w:hAnsi="Arial Narrow" w:cs="Arial"/>
        </w:rPr>
        <w:t xml:space="preserve"> for the sampling period.</w:t>
      </w:r>
    </w:p>
    <w:p w:rsidR="00EA2675" w:rsidRPr="00D83D88" w:rsidRDefault="00655EBF" w:rsidP="00742EDA">
      <w:pPr>
        <w:numPr>
          <w:ilvl w:val="0"/>
          <w:numId w:val="1"/>
        </w:numPr>
        <w:rPr>
          <w:rFonts w:ascii="Arial Narrow" w:hAnsi="Arial Narrow" w:cs="Arial"/>
        </w:rPr>
      </w:pPr>
      <w:r w:rsidRPr="00D83D88">
        <w:rPr>
          <w:rFonts w:ascii="Arial Narrow" w:hAnsi="Arial Narrow" w:cs="Arial"/>
        </w:rPr>
        <w:t xml:space="preserve">Add the Writing Center Director to the team </w:t>
      </w:r>
      <w:r w:rsidR="00D83D88" w:rsidRPr="00D83D88">
        <w:rPr>
          <w:rFonts w:ascii="Arial Narrow" w:hAnsi="Arial Narrow" w:cs="Arial"/>
        </w:rPr>
        <w:t xml:space="preserve">to </w:t>
      </w:r>
      <w:r w:rsidR="00D83D88">
        <w:rPr>
          <w:rFonts w:ascii="Arial Narrow" w:hAnsi="Arial Narrow" w:cs="Arial"/>
        </w:rPr>
        <w:t xml:space="preserve">provide a contact and </w:t>
      </w:r>
      <w:r w:rsidR="00D83D88" w:rsidRPr="00D83D88">
        <w:rPr>
          <w:rFonts w:ascii="Arial Narrow" w:hAnsi="Arial Narrow" w:cs="Arial"/>
        </w:rPr>
        <w:t xml:space="preserve">resource for assignment design </w:t>
      </w:r>
      <w:r w:rsidR="00D83D88">
        <w:rPr>
          <w:rFonts w:ascii="Arial Narrow" w:hAnsi="Arial Narrow" w:cs="Arial"/>
        </w:rPr>
        <w:t>that addresses</w:t>
      </w:r>
      <w:r w:rsidR="00D83D88" w:rsidRPr="00D83D88">
        <w:rPr>
          <w:rFonts w:ascii="Arial Narrow" w:hAnsi="Arial Narrow" w:cs="Arial"/>
        </w:rPr>
        <w:t xml:space="preserve"> skill building </w:t>
      </w:r>
      <w:r w:rsidR="00D83D88">
        <w:rPr>
          <w:rFonts w:ascii="Arial Narrow" w:hAnsi="Arial Narrow" w:cs="Arial"/>
        </w:rPr>
        <w:t xml:space="preserve">from a disciplinary perspective </w:t>
      </w:r>
      <w:r w:rsidR="00D83D88" w:rsidRPr="00D83D88">
        <w:rPr>
          <w:rFonts w:ascii="Arial Narrow" w:hAnsi="Arial Narrow" w:cs="Arial"/>
        </w:rPr>
        <w:t>in the areas of “contexts and assumptions” and evaluation of evidence.</w:t>
      </w:r>
    </w:p>
    <w:sectPr w:rsidR="00EA2675" w:rsidRPr="00D83D88" w:rsidSect="00EA1C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242AC"/>
    <w:multiLevelType w:val="hybridMultilevel"/>
    <w:tmpl w:val="E95C18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D66962"/>
    <w:rsid w:val="00171AC9"/>
    <w:rsid w:val="002421E2"/>
    <w:rsid w:val="002C33EB"/>
    <w:rsid w:val="002D627E"/>
    <w:rsid w:val="00304337"/>
    <w:rsid w:val="00341A6A"/>
    <w:rsid w:val="003852A8"/>
    <w:rsid w:val="004119E8"/>
    <w:rsid w:val="004B301A"/>
    <w:rsid w:val="004E4BCE"/>
    <w:rsid w:val="005F2DD3"/>
    <w:rsid w:val="00655EBF"/>
    <w:rsid w:val="00682CE5"/>
    <w:rsid w:val="00742EDA"/>
    <w:rsid w:val="00875194"/>
    <w:rsid w:val="008D1B35"/>
    <w:rsid w:val="00987B73"/>
    <w:rsid w:val="009D652B"/>
    <w:rsid w:val="009E175C"/>
    <w:rsid w:val="009F248C"/>
    <w:rsid w:val="00B3628D"/>
    <w:rsid w:val="00C462D4"/>
    <w:rsid w:val="00CA51E1"/>
    <w:rsid w:val="00CC2D8B"/>
    <w:rsid w:val="00D66962"/>
    <w:rsid w:val="00D83D88"/>
    <w:rsid w:val="00DD0E4F"/>
    <w:rsid w:val="00DD0F89"/>
    <w:rsid w:val="00DD639B"/>
    <w:rsid w:val="00EA1C52"/>
    <w:rsid w:val="00EA2675"/>
    <w:rsid w:val="00F3250A"/>
    <w:rsid w:val="00F81DF7"/>
    <w:rsid w:val="00F9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C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3480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(aggregate results)</vt:lpstr>
    </vt:vector>
  </TitlesOfParts>
  <Company>Eastern Oregon University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(aggregate results)</dc:title>
  <dc:subject/>
  <dc:creator>switte</dc:creator>
  <cp:keywords/>
  <dc:description/>
  <cp:lastModifiedBy>user</cp:lastModifiedBy>
  <cp:revision>2</cp:revision>
  <cp:lastPrinted>2010-01-12T16:26:00Z</cp:lastPrinted>
  <dcterms:created xsi:type="dcterms:W3CDTF">2011-08-30T17:13:00Z</dcterms:created>
  <dcterms:modified xsi:type="dcterms:W3CDTF">2011-08-30T17:13:00Z</dcterms:modified>
</cp:coreProperties>
</file>